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Pr="00355365" w:rsidRDefault="00E91A50" w:rsidP="00355365">
      <w:pPr>
        <w:jc w:val="center"/>
        <w:rPr>
          <w:b/>
        </w:rPr>
      </w:pPr>
      <w:r w:rsidRPr="00355365">
        <w:rPr>
          <w:b/>
        </w:rPr>
        <w:t>Performance Appraisal</w:t>
      </w:r>
    </w:p>
    <w:p w:rsidR="00355365" w:rsidRDefault="00355365" w:rsidP="00355365">
      <w:pPr>
        <w:jc w:val="center"/>
      </w:pPr>
    </w:p>
    <w:p w:rsidR="00355365" w:rsidRDefault="00E91A50" w:rsidP="00355365">
      <w:pPr>
        <w:jc w:val="center"/>
      </w:pPr>
      <w:r>
        <w:t>Name</w:t>
      </w:r>
    </w:p>
    <w:p w:rsidR="00355365" w:rsidRDefault="00E91A50" w:rsidP="00355365">
      <w:pPr>
        <w:jc w:val="center"/>
      </w:pPr>
      <w:r>
        <w:t>Affiliation</w:t>
      </w:r>
    </w:p>
    <w:p w:rsidR="00355365" w:rsidRDefault="00E91A50" w:rsidP="00355365">
      <w:pPr>
        <w:jc w:val="center"/>
      </w:pPr>
      <w:r>
        <w:t>Date</w:t>
      </w: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Default="00355365" w:rsidP="00355365">
      <w:pPr>
        <w:jc w:val="center"/>
      </w:pPr>
    </w:p>
    <w:p w:rsidR="00355365" w:rsidRPr="00355365" w:rsidRDefault="00E91A50" w:rsidP="00355365">
      <w:pPr>
        <w:contextualSpacing/>
        <w:jc w:val="center"/>
        <w:rPr>
          <w:b/>
        </w:rPr>
      </w:pPr>
      <w:r w:rsidRPr="00355365">
        <w:rPr>
          <w:b/>
        </w:rPr>
        <w:t>Performance Appraisal</w:t>
      </w:r>
    </w:p>
    <w:p w:rsidR="00355365" w:rsidRDefault="00E91A50" w:rsidP="00355365">
      <w:pPr>
        <w:ind w:left="0"/>
        <w:contextualSpacing/>
      </w:pPr>
      <w:r>
        <w:tab/>
        <w:t xml:space="preserve">Rating scales are used in the performance management system to indicate a work's achievement level or </w:t>
      </w:r>
      <w:r w:rsidR="006D0C9C">
        <w:t>performance. Such</w:t>
      </w:r>
      <w:r>
        <w:t xml:space="preserve"> scales provide quantitative </w:t>
      </w:r>
      <w:r w:rsidR="006D0C9C">
        <w:t>assessments</w:t>
      </w:r>
      <w:r>
        <w:t xml:space="preserve"> for the </w:t>
      </w:r>
      <w:r w:rsidR="006D0C9C">
        <w:t>administrators</w:t>
      </w:r>
      <w:r>
        <w:t xml:space="preserve"> to help in differentiating between </w:t>
      </w:r>
      <w:r w:rsidR="006D0C9C">
        <w:t>workers. I</w:t>
      </w:r>
      <w:r>
        <w:t xml:space="preserve"> would use </w:t>
      </w:r>
      <w:r w:rsidR="00397301">
        <w:t xml:space="preserve">behaviorally anchored rating </w:t>
      </w:r>
      <w:r w:rsidR="006D0C9C">
        <w:t>scales. Such</w:t>
      </w:r>
      <w:r w:rsidR="00397301">
        <w:t xml:space="preserve"> a rating scale uses behavior as a reference point instead of general descriptors found in other rating </w:t>
      </w:r>
      <w:r w:rsidR="006D0C9C">
        <w:t xml:space="preserve">scales. This </w:t>
      </w:r>
      <w:r w:rsidR="00397301">
        <w:t xml:space="preserve">type of </w:t>
      </w:r>
      <w:r w:rsidR="006D0C9C">
        <w:t>rating</w:t>
      </w:r>
      <w:r w:rsidR="00397301">
        <w:t xml:space="preserve"> scale is designed to add the benefits of quantitative and qualitative information to the assessment </w:t>
      </w:r>
      <w:r w:rsidR="00D65811">
        <w:t>process. The</w:t>
      </w:r>
      <w:r w:rsidR="00397301">
        <w:t xml:space="preserve"> scale also measures a worker's performance against certain types of behaviors given a rating number to</w:t>
      </w:r>
      <w:r w:rsidR="00D65811">
        <w:t xml:space="preserve"> determin</w:t>
      </w:r>
      <w:r w:rsidR="00397301">
        <w:t>e data collection.</w:t>
      </w:r>
    </w:p>
    <w:p w:rsidR="00397301" w:rsidRDefault="00E91A50" w:rsidP="00355365">
      <w:pPr>
        <w:ind w:left="0"/>
        <w:contextualSpacing/>
      </w:pPr>
      <w:r>
        <w:tab/>
      </w:r>
      <w:r w:rsidR="00E3017C">
        <w:t xml:space="preserve">Although BARS is time-consuming, I would set aside substantial time to design the rating </w:t>
      </w:r>
      <w:r w:rsidR="00D65811">
        <w:t>scale. Since</w:t>
      </w:r>
      <w:r w:rsidR="00E3017C">
        <w:t xml:space="preserve"> BARS s usually expensive, I would suggest using a single sector of the organization, making it </w:t>
      </w:r>
      <w:r w:rsidR="00D65811">
        <w:t>feasible</w:t>
      </w:r>
      <w:r w:rsidR="00E3017C">
        <w:t xml:space="preserve"> since BARS requires highly motivated management. The rating scale would use </w:t>
      </w:r>
      <w:r w:rsidR="00D65811">
        <w:t>anchors</w:t>
      </w:r>
      <w:r w:rsidR="00E3017C">
        <w:t xml:space="preserve"> and</w:t>
      </w:r>
      <w:r w:rsidR="00D65811">
        <w:t xml:space="preserve"> statements</w:t>
      </w:r>
      <w:r w:rsidR="00E3017C">
        <w:t xml:space="preserve"> from an effective management </w:t>
      </w:r>
      <w:r w:rsidR="00D65811">
        <w:t>team. Besides</w:t>
      </w:r>
      <w:r w:rsidR="00E3017C">
        <w:t xml:space="preserve"> BARS can be highly accused of leniency bias, I would educate the workers on this system's effectiveness</w:t>
      </w:r>
      <w:r w:rsidR="007B0198">
        <w:t xml:space="preserve"> </w:t>
      </w:r>
      <w:r w:rsidR="007B0198" w:rsidRPr="007B0198">
        <w:rPr>
          <w:rFonts w:ascii="Verdana" w:hAnsi="Verdana"/>
          <w:sz w:val="21"/>
          <w:szCs w:val="21"/>
          <w:shd w:val="clear" w:color="auto" w:fill="FFFFFF"/>
        </w:rPr>
        <w:t>(</w:t>
      </w:r>
      <w:r w:rsidR="007B0198" w:rsidRPr="007B0198">
        <w:rPr>
          <w:rFonts w:cs="Times New Roman"/>
          <w:szCs w:val="24"/>
          <w:shd w:val="clear" w:color="auto" w:fill="FFFFFF"/>
        </w:rPr>
        <w:t>Bernardin, 2015)</w:t>
      </w:r>
      <w:r w:rsidR="00E3017C" w:rsidRPr="007B0198">
        <w:rPr>
          <w:rFonts w:cs="Times New Roman"/>
          <w:szCs w:val="24"/>
        </w:rPr>
        <w:t>.</w:t>
      </w:r>
    </w:p>
    <w:p w:rsidR="00CB685A" w:rsidRDefault="00E91A50" w:rsidP="00355365">
      <w:pPr>
        <w:ind w:left="0"/>
        <w:contextualSpacing/>
        <w:rPr>
          <w:rFonts w:cs="Times New Roman"/>
          <w:szCs w:val="24"/>
        </w:rPr>
      </w:pPr>
      <w:r>
        <w:tab/>
        <w:t xml:space="preserve">There are several ways I would use to make the employee performance appraisal a meaningful experience for employees and the </w:t>
      </w:r>
      <w:r w:rsidR="00555173">
        <w:t>organization. I</w:t>
      </w:r>
      <w:r>
        <w:t xml:space="preserve"> would begin by performing thorough research on this </w:t>
      </w:r>
      <w:r w:rsidR="00D65811">
        <w:t>approach. I</w:t>
      </w:r>
      <w:r w:rsidR="006D0C9C">
        <w:t xml:space="preserve"> would also collect examples of inadequate and adequate behavior-related jobs. Also, I would convert data into performance scopes using behavior </w:t>
      </w:r>
      <w:r w:rsidR="00D65811">
        <w:t>examples. I</w:t>
      </w:r>
      <w:r w:rsidR="006D0C9C">
        <w:t xml:space="preserve"> would also ask SMEs to translate into their own performance </w:t>
      </w:r>
      <w:r w:rsidR="00D65811">
        <w:t>sizes. I</w:t>
      </w:r>
      <w:r w:rsidR="006D0C9C">
        <w:t xml:space="preserve"> would also </w:t>
      </w:r>
      <w:r w:rsidR="006D0C9C" w:rsidRPr="007B0198">
        <w:rPr>
          <w:rFonts w:cs="Times New Roman"/>
          <w:szCs w:val="24"/>
        </w:rPr>
        <w:t>remove the higher diverged standards to ensure SME settlement on behavior ratings</w:t>
      </w:r>
      <w:r w:rsidR="007B0198" w:rsidRPr="007B0198">
        <w:rPr>
          <w:rFonts w:cs="Times New Roman"/>
          <w:szCs w:val="24"/>
        </w:rPr>
        <w:t xml:space="preserve"> </w:t>
      </w:r>
      <w:r w:rsidR="007B0198" w:rsidRPr="007B0198">
        <w:rPr>
          <w:rFonts w:cs="Times New Roman"/>
          <w:color w:val="333333"/>
          <w:szCs w:val="24"/>
          <w:shd w:val="clear" w:color="auto" w:fill="FFFFFF"/>
        </w:rPr>
        <w:t>(Georganta &amp; Brodbeck, 2020)</w:t>
      </w:r>
      <w:r w:rsidR="006D0C9C" w:rsidRPr="007B0198">
        <w:rPr>
          <w:rFonts w:cs="Times New Roman"/>
          <w:szCs w:val="24"/>
        </w:rPr>
        <w:t>.</w:t>
      </w:r>
    </w:p>
    <w:p w:rsidR="007B0198" w:rsidRDefault="007B0198" w:rsidP="00355365">
      <w:pPr>
        <w:ind w:left="0"/>
        <w:contextualSpacing/>
        <w:rPr>
          <w:rFonts w:cs="Times New Roman"/>
          <w:szCs w:val="24"/>
        </w:rPr>
      </w:pPr>
    </w:p>
    <w:p w:rsidR="007B0198" w:rsidRPr="007B0198" w:rsidRDefault="007B0198" w:rsidP="007B0198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7B0198">
        <w:rPr>
          <w:rFonts w:eastAsia="Times New Roman" w:cs="Times New Roman"/>
          <w:szCs w:val="24"/>
        </w:rPr>
        <w:t>References</w:t>
      </w:r>
    </w:p>
    <w:p w:rsidR="007B0198" w:rsidRPr="007B0198" w:rsidRDefault="007B0198" w:rsidP="007B019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7B0198">
        <w:rPr>
          <w:rFonts w:eastAsia="Times New Roman" w:cs="Times New Roman"/>
          <w:szCs w:val="24"/>
        </w:rPr>
        <w:t>Georganta, E., &amp; Brodbeck, F. C. (2020). Capturing the four-phase team adaptation process with behaviorally anchored rating scales (BARS). </w:t>
      </w:r>
      <w:r w:rsidRPr="007B0198">
        <w:rPr>
          <w:rFonts w:eastAsia="Times New Roman" w:cs="Times New Roman"/>
          <w:i/>
          <w:iCs/>
          <w:szCs w:val="24"/>
        </w:rPr>
        <w:t>European Journal of Psychological Assessment</w:t>
      </w:r>
      <w:r w:rsidRPr="007B0198">
        <w:rPr>
          <w:rFonts w:eastAsia="Times New Roman" w:cs="Times New Roman"/>
          <w:szCs w:val="24"/>
        </w:rPr>
        <w:t>, </w:t>
      </w:r>
      <w:r w:rsidRPr="007B0198">
        <w:rPr>
          <w:rFonts w:eastAsia="Times New Roman" w:cs="Times New Roman"/>
          <w:i/>
          <w:iCs/>
          <w:szCs w:val="24"/>
        </w:rPr>
        <w:t>36</w:t>
      </w:r>
      <w:r w:rsidRPr="007B0198">
        <w:rPr>
          <w:rFonts w:eastAsia="Times New Roman" w:cs="Times New Roman"/>
          <w:szCs w:val="24"/>
        </w:rPr>
        <w:t>(2), 336-347. </w:t>
      </w:r>
      <w:hyperlink r:id="rId6" w:history="1">
        <w:r w:rsidRPr="007B0198">
          <w:rPr>
            <w:rFonts w:eastAsia="Times New Roman" w:cs="Times New Roman"/>
            <w:szCs w:val="24"/>
          </w:rPr>
          <w:t>https://doi.org/10.1027/1015-5759/a000503</w:t>
        </w:r>
      </w:hyperlink>
    </w:p>
    <w:p w:rsidR="007B0198" w:rsidRPr="007B0198" w:rsidRDefault="007B0198" w:rsidP="007B019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7B0198">
        <w:rPr>
          <w:rFonts w:eastAsia="Times New Roman" w:cs="Times New Roman"/>
          <w:szCs w:val="24"/>
        </w:rPr>
        <w:t>Lubbe, D., &amp; Nitsche, A. (2019). Reducing assimilation and contrast effects on selection interview ratings using behaviorally anchored rating scales. </w:t>
      </w:r>
      <w:r w:rsidRPr="007B0198">
        <w:rPr>
          <w:rFonts w:eastAsia="Times New Roman" w:cs="Times New Roman"/>
          <w:i/>
          <w:iCs/>
          <w:szCs w:val="24"/>
        </w:rPr>
        <w:t>International Journal of Selection and Assessment</w:t>
      </w:r>
      <w:r w:rsidRPr="007B0198">
        <w:rPr>
          <w:rFonts w:eastAsia="Times New Roman" w:cs="Times New Roman"/>
          <w:szCs w:val="24"/>
        </w:rPr>
        <w:t>, </w:t>
      </w:r>
      <w:r w:rsidRPr="007B0198">
        <w:rPr>
          <w:rFonts w:eastAsia="Times New Roman" w:cs="Times New Roman"/>
          <w:i/>
          <w:iCs/>
          <w:szCs w:val="24"/>
        </w:rPr>
        <w:t>27</w:t>
      </w:r>
      <w:r w:rsidRPr="007B0198">
        <w:rPr>
          <w:rFonts w:eastAsia="Times New Roman" w:cs="Times New Roman"/>
          <w:szCs w:val="24"/>
        </w:rPr>
        <w:t>(1), 43-53. </w:t>
      </w:r>
      <w:hyperlink r:id="rId7" w:history="1">
        <w:r w:rsidRPr="007B0198">
          <w:rPr>
            <w:rFonts w:eastAsia="Times New Roman" w:cs="Times New Roman"/>
            <w:szCs w:val="24"/>
          </w:rPr>
          <w:t>https://doi.org/10.1111/ijsa.12230</w:t>
        </w:r>
      </w:hyperlink>
    </w:p>
    <w:p w:rsidR="00355365" w:rsidRDefault="00355365" w:rsidP="00355365">
      <w:pPr>
        <w:jc w:val="center"/>
      </w:pPr>
    </w:p>
    <w:sectPr w:rsidR="0035536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1A50" w:rsidRDefault="00E91A50">
      <w:pPr>
        <w:spacing w:after="0" w:line="240" w:lineRule="auto"/>
      </w:pPr>
      <w:r>
        <w:separator/>
      </w:r>
    </w:p>
  </w:endnote>
  <w:endnote w:type="continuationSeparator" w:id="0">
    <w:p w:rsidR="00E91A50" w:rsidRDefault="00E9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1A50" w:rsidRDefault="00E91A50">
      <w:pPr>
        <w:spacing w:after="0" w:line="240" w:lineRule="auto"/>
      </w:pPr>
      <w:r>
        <w:separator/>
      </w:r>
    </w:p>
  </w:footnote>
  <w:footnote w:type="continuationSeparator" w:id="0">
    <w:p w:rsidR="00E91A50" w:rsidRDefault="00E9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8451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5365" w:rsidRDefault="00E91A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1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5365" w:rsidRDefault="00355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65"/>
    <w:rsid w:val="001C4CD1"/>
    <w:rsid w:val="00271F83"/>
    <w:rsid w:val="002853EC"/>
    <w:rsid w:val="00323F97"/>
    <w:rsid w:val="00355365"/>
    <w:rsid w:val="00397301"/>
    <w:rsid w:val="00555173"/>
    <w:rsid w:val="006D0C9C"/>
    <w:rsid w:val="007A3E1E"/>
    <w:rsid w:val="007B0198"/>
    <w:rsid w:val="008E2C11"/>
    <w:rsid w:val="009C3B55"/>
    <w:rsid w:val="00B00F3D"/>
    <w:rsid w:val="00BE0B2F"/>
    <w:rsid w:val="00CA212C"/>
    <w:rsid w:val="00CB685A"/>
    <w:rsid w:val="00D65811"/>
    <w:rsid w:val="00E3017C"/>
    <w:rsid w:val="00E76FBC"/>
    <w:rsid w:val="00E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8BB07-05FF-486A-8802-42DA6D52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65"/>
  </w:style>
  <w:style w:type="paragraph" w:styleId="Footer">
    <w:name w:val="footer"/>
    <w:basedOn w:val="Normal"/>
    <w:link w:val="FooterChar"/>
    <w:uiPriority w:val="99"/>
    <w:unhideWhenUsed/>
    <w:rsid w:val="0035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65"/>
  </w:style>
  <w:style w:type="paragraph" w:styleId="NormalWeb">
    <w:name w:val="Normal (Web)"/>
    <w:basedOn w:val="Normal"/>
    <w:uiPriority w:val="99"/>
    <w:semiHidden/>
    <w:unhideWhenUsed/>
    <w:rsid w:val="007B0198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7B01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B0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1111/ijsa.12230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27/1015-5759/a000503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2021-03-21T17:55:00Z</dcterms:created>
  <dcterms:modified xsi:type="dcterms:W3CDTF">2021-03-21T17:55:00Z</dcterms:modified>
</cp:coreProperties>
</file>